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20" w:rsidRPr="001F3D05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000320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000320">
        <w:rPr>
          <w:rFonts w:asciiTheme="majorBidi" w:hAnsiTheme="majorBidi" w:cstheme="majorBidi"/>
          <w:sz w:val="28"/>
          <w:szCs w:val="28"/>
        </w:rPr>
        <w:t>бюджетное</w:t>
      </w:r>
      <w:r w:rsidR="00A76A07" w:rsidRPr="00000320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000320">
        <w:rPr>
          <w:rFonts w:asciiTheme="majorBidi" w:hAnsiTheme="majorBidi" w:cstheme="majorBidi"/>
          <w:sz w:val="28"/>
          <w:szCs w:val="28"/>
        </w:rPr>
        <w:t xml:space="preserve"> "Борская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00032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00032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0003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0003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00032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0003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320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</w:t>
            </w:r>
            <w:proofErr w:type="spellStart"/>
            <w:r w:rsidRPr="00000320">
              <w:rPr>
                <w:rFonts w:asciiTheme="majorBidi" w:hAnsiTheme="majorBidi" w:cstheme="majorBidi"/>
                <w:sz w:val="24"/>
                <w:szCs w:val="24"/>
              </w:rPr>
              <w:t>БорСШ</w:t>
            </w:r>
            <w:proofErr w:type="spellEnd"/>
          </w:p>
          <w:p w:rsidR="007B5622" w:rsidRPr="0000032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0320">
              <w:rPr>
                <w:rFonts w:asciiTheme="majorBidi" w:hAnsiTheme="majorBidi" w:cstheme="majorBidi"/>
                <w:sz w:val="24"/>
                <w:szCs w:val="24"/>
              </w:rPr>
              <w:t xml:space="preserve">Хильченко Елена </w:t>
            </w:r>
            <w:r w:rsidR="00000320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000320">
              <w:rPr>
                <w:rFonts w:asciiTheme="majorBidi" w:hAnsiTheme="majorBidi" w:cstheme="majorBidi"/>
                <w:sz w:val="24"/>
                <w:szCs w:val="24"/>
              </w:rPr>
              <w:t>лександровна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00032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95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7C06B2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8C1CC6D4-B52A-4EC1-BD2D-65850D31AD5C}" provid="{00000000-0000-0000-0000-000000000000}" o:suggestedsigner="Хильченко Е.А" o:suggestedsigner2="директор МБОУ &quot;БорСШ&quot;" showsigndate="f" issignatureline="t"/>
          </v:shape>
        </w:pict>
      </w:r>
      <w:bookmarkEnd w:id="0"/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Туруханский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0032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000320">
        <w:rPr>
          <w:rStyle w:val="markedcontent"/>
          <w:rFonts w:asciiTheme="majorBidi" w:hAnsiTheme="majorBidi" w:cstheme="majorBidi"/>
          <w:sz w:val="28"/>
          <w:szCs w:val="28"/>
        </w:rPr>
        <w:t xml:space="preserve">бюджетное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"Борская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000320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00032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000320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00032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000320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000320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моделирование,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1F3D05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1F3D05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000320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00032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0320" w:rsidRDefault="00000320" w:rsidP="0000032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Приложение </w:t>
      </w:r>
      <w:r w:rsidR="00AF6139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к приказу № 95 от 30.08.2023</w:t>
      </w:r>
    </w:p>
    <w:p w:rsidR="00000320" w:rsidRPr="00876922" w:rsidRDefault="00000320" w:rsidP="0000032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</w:t>
      </w:r>
      <w:r>
        <w:rPr>
          <w:rFonts w:asciiTheme="majorBidi" w:hAnsiTheme="majorBidi" w:cstheme="majorBidi"/>
          <w:sz w:val="24"/>
          <w:szCs w:val="24"/>
        </w:rPr>
        <w:t>АЮ:</w:t>
      </w:r>
    </w:p>
    <w:p w:rsidR="00000320" w:rsidRPr="00876922" w:rsidRDefault="00000320" w:rsidP="0000032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76922">
        <w:rPr>
          <w:rFonts w:asciiTheme="majorBidi" w:hAnsiTheme="majorBidi" w:cstheme="majorBidi"/>
          <w:sz w:val="24"/>
          <w:szCs w:val="24"/>
        </w:rPr>
        <w:t xml:space="preserve">директор МБОУ </w:t>
      </w:r>
      <w:proofErr w:type="spellStart"/>
      <w:r w:rsidRPr="00876922">
        <w:rPr>
          <w:rFonts w:asciiTheme="majorBidi" w:hAnsiTheme="majorBidi" w:cstheme="majorBidi"/>
          <w:sz w:val="24"/>
          <w:szCs w:val="24"/>
        </w:rPr>
        <w:t>БорСШ</w:t>
      </w:r>
      <w:proofErr w:type="spellEnd"/>
    </w:p>
    <w:p w:rsidR="00000320" w:rsidRPr="00876922" w:rsidRDefault="00000320" w:rsidP="0000032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</w:t>
      </w:r>
      <w:r w:rsidRPr="00876922">
        <w:rPr>
          <w:rFonts w:asciiTheme="majorBidi" w:hAnsiTheme="majorBidi" w:cstheme="majorBidi"/>
          <w:sz w:val="24"/>
          <w:szCs w:val="24"/>
        </w:rPr>
        <w:t>Хильченко Е.А</w:t>
      </w:r>
    </w:p>
    <w:p w:rsidR="00000320" w:rsidRPr="00553D9A" w:rsidRDefault="00000320" w:rsidP="00000320">
      <w:pPr>
        <w:ind w:firstLine="567"/>
        <w:jc w:val="right"/>
        <w:rPr>
          <w:rStyle w:val="markedcontent"/>
          <w:rFonts w:asciiTheme="majorBidi" w:hAnsiTheme="majorBidi" w:cstheme="majorBidi"/>
          <w:sz w:val="28"/>
          <w:szCs w:val="28"/>
        </w:rPr>
      </w:pPr>
      <w:r w:rsidRPr="00A50FE4">
        <w:rPr>
          <w:rFonts w:asciiTheme="majorBidi" w:hAnsiTheme="majorBidi" w:cstheme="majorBidi"/>
          <w:sz w:val="24"/>
          <w:szCs w:val="24"/>
        </w:rPr>
        <w:t>30</w:t>
      </w:r>
      <w:r w:rsidRPr="00553D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августа </w:t>
      </w:r>
      <w:r w:rsidRPr="00A50FE4">
        <w:rPr>
          <w:rFonts w:asciiTheme="majorBidi" w:hAnsiTheme="majorBidi" w:cstheme="majorBidi"/>
          <w:sz w:val="24"/>
          <w:szCs w:val="24"/>
        </w:rPr>
        <w:t xml:space="preserve"> 2023 </w:t>
      </w:r>
      <w:r>
        <w:rPr>
          <w:rFonts w:asciiTheme="majorBidi" w:hAnsiTheme="majorBidi" w:cstheme="majorBidi"/>
          <w:sz w:val="24"/>
          <w:szCs w:val="24"/>
        </w:rPr>
        <w:t>г.</w:t>
      </w:r>
    </w:p>
    <w:p w:rsidR="00F60A00" w:rsidRPr="00000320" w:rsidRDefault="00F60A00" w:rsidP="00000320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000320">
        <w:rPr>
          <w:rStyle w:val="markedcontent"/>
          <w:rFonts w:asciiTheme="majorBidi" w:hAnsiTheme="majorBidi" w:cstheme="majorBidi"/>
          <w:sz w:val="28"/>
          <w:szCs w:val="28"/>
          <w:lang w:val="en-US"/>
        </w:rPr>
        <w:t xml:space="preserve"> (10 </w:t>
      </w:r>
      <w:r w:rsidR="00000320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proofErr w:type="gramStart"/>
      <w:r w:rsidR="00000320">
        <w:rPr>
          <w:rStyle w:val="markedcontent"/>
          <w:rFonts w:asciiTheme="majorBidi" w:hAnsiTheme="majorBidi" w:cstheme="majorBidi"/>
          <w:sz w:val="28"/>
          <w:szCs w:val="28"/>
        </w:rPr>
        <w:t xml:space="preserve"> )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E11258" w:rsidTr="00000320">
        <w:tc>
          <w:tcPr>
            <w:tcW w:w="4719" w:type="dxa"/>
            <w:vMerge w:val="restart"/>
            <w:shd w:val="clear" w:color="auto" w:fill="D9D9D9"/>
          </w:tcPr>
          <w:p w:rsidR="00E11258" w:rsidRDefault="00214B81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E11258" w:rsidRDefault="00214B81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E11258" w:rsidRDefault="00214B8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  <w:vMerge/>
          </w:tcPr>
          <w:p w:rsidR="00E11258" w:rsidRDefault="00E11258"/>
        </w:tc>
        <w:tc>
          <w:tcPr>
            <w:tcW w:w="2665" w:type="dxa"/>
            <w:shd w:val="clear" w:color="auto" w:fill="D9D9D9"/>
          </w:tcPr>
          <w:p w:rsidR="00E11258" w:rsidRDefault="00214B8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665" w:type="dxa"/>
            <w:shd w:val="clear" w:color="auto" w:fill="D9D9D9"/>
          </w:tcPr>
          <w:p w:rsidR="00E11258" w:rsidRDefault="00214B8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E11258" w:rsidTr="00000320">
        <w:tc>
          <w:tcPr>
            <w:tcW w:w="14768" w:type="dxa"/>
            <w:gridSpan w:val="4"/>
            <w:shd w:val="clear" w:color="auto" w:fill="FFFFB3"/>
          </w:tcPr>
          <w:p w:rsidR="00E11258" w:rsidRDefault="00214B8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11258" w:rsidTr="00000320">
        <w:tc>
          <w:tcPr>
            <w:tcW w:w="4719" w:type="dxa"/>
            <w:vMerge w:val="restart"/>
          </w:tcPr>
          <w:p w:rsidR="00E11258" w:rsidRDefault="00214B81">
            <w:r>
              <w:t>Русский язык и литература</w:t>
            </w:r>
          </w:p>
        </w:tc>
        <w:tc>
          <w:tcPr>
            <w:tcW w:w="4719" w:type="dxa"/>
          </w:tcPr>
          <w:p w:rsidR="00E11258" w:rsidRDefault="00214B81">
            <w:r>
              <w:t>Русский язык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2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Литература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3</w:t>
            </w:r>
          </w:p>
        </w:tc>
      </w:tr>
      <w:tr w:rsidR="00E11258" w:rsidTr="00000320">
        <w:tc>
          <w:tcPr>
            <w:tcW w:w="4719" w:type="dxa"/>
          </w:tcPr>
          <w:p w:rsidR="00E11258" w:rsidRDefault="00214B81">
            <w:r>
              <w:t>Иностранные языки</w:t>
            </w:r>
          </w:p>
        </w:tc>
        <w:tc>
          <w:tcPr>
            <w:tcW w:w="4719" w:type="dxa"/>
          </w:tcPr>
          <w:p w:rsidR="00E11258" w:rsidRDefault="00214B81">
            <w:r>
              <w:t>Иностранный язык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3</w:t>
            </w:r>
          </w:p>
        </w:tc>
      </w:tr>
      <w:tr w:rsidR="00E11258" w:rsidTr="00000320">
        <w:tc>
          <w:tcPr>
            <w:tcW w:w="4719" w:type="dxa"/>
            <w:vMerge w:val="restart"/>
          </w:tcPr>
          <w:p w:rsidR="00E11258" w:rsidRDefault="00214B81">
            <w:r>
              <w:t>Математика и информатика</w:t>
            </w:r>
          </w:p>
        </w:tc>
        <w:tc>
          <w:tcPr>
            <w:tcW w:w="4719" w:type="dxa"/>
          </w:tcPr>
          <w:p w:rsidR="00E11258" w:rsidRDefault="00214B81">
            <w:r>
              <w:t xml:space="preserve">Алгебра 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4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 xml:space="preserve">Геометрия  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3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 xml:space="preserve">Вероятность и статистика  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Информатика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</w:t>
            </w:r>
          </w:p>
        </w:tc>
      </w:tr>
      <w:tr w:rsidR="00E11258" w:rsidTr="00000320">
        <w:tc>
          <w:tcPr>
            <w:tcW w:w="4719" w:type="dxa"/>
            <w:vMerge w:val="restart"/>
          </w:tcPr>
          <w:p w:rsidR="00E11258" w:rsidRDefault="00214B81">
            <w:r>
              <w:t>Общественно-научные предметы</w:t>
            </w:r>
          </w:p>
        </w:tc>
        <w:tc>
          <w:tcPr>
            <w:tcW w:w="4719" w:type="dxa"/>
          </w:tcPr>
          <w:p w:rsidR="00E11258" w:rsidRDefault="00214B81">
            <w:r>
              <w:t>История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2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4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География (углубленный уровень)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</w:t>
            </w:r>
          </w:p>
        </w:tc>
      </w:tr>
      <w:tr w:rsidR="00E11258" w:rsidTr="00000320">
        <w:tc>
          <w:tcPr>
            <w:tcW w:w="4719" w:type="dxa"/>
            <w:vMerge w:val="restart"/>
          </w:tcPr>
          <w:p w:rsidR="00E11258" w:rsidRDefault="00214B8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E11258" w:rsidRDefault="00214B81">
            <w:r>
              <w:t>Физика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2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Химия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Биология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</w:t>
            </w:r>
          </w:p>
        </w:tc>
      </w:tr>
      <w:tr w:rsidR="00E11258" w:rsidTr="00000320">
        <w:tc>
          <w:tcPr>
            <w:tcW w:w="4719" w:type="dxa"/>
            <w:vMerge w:val="restart"/>
          </w:tcPr>
          <w:p w:rsidR="00E11258" w:rsidRDefault="00214B81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E11258" w:rsidRDefault="00214B81">
            <w:r>
              <w:t>Физическая культура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2</w:t>
            </w:r>
          </w:p>
        </w:tc>
      </w:tr>
      <w:tr w:rsidR="00E11258" w:rsidTr="00000320">
        <w:tc>
          <w:tcPr>
            <w:tcW w:w="4719" w:type="dxa"/>
            <w:vMerge/>
          </w:tcPr>
          <w:p w:rsidR="00E11258" w:rsidRDefault="00E11258"/>
        </w:tc>
        <w:tc>
          <w:tcPr>
            <w:tcW w:w="4719" w:type="dxa"/>
          </w:tcPr>
          <w:p w:rsidR="00E11258" w:rsidRDefault="00214B81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</w:t>
            </w:r>
          </w:p>
        </w:tc>
      </w:tr>
      <w:tr w:rsidR="00E11258" w:rsidTr="00000320">
        <w:tc>
          <w:tcPr>
            <w:tcW w:w="4719" w:type="dxa"/>
          </w:tcPr>
          <w:p w:rsidR="00E11258" w:rsidRDefault="00214B81">
            <w:r>
              <w:t>-----</w:t>
            </w:r>
          </w:p>
        </w:tc>
        <w:tc>
          <w:tcPr>
            <w:tcW w:w="4719" w:type="dxa"/>
          </w:tcPr>
          <w:p w:rsidR="00E11258" w:rsidRDefault="00214B81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0</w:t>
            </w:r>
          </w:p>
        </w:tc>
      </w:tr>
      <w:tr w:rsidR="00E11258" w:rsidTr="00000320">
        <w:tc>
          <w:tcPr>
            <w:tcW w:w="9438" w:type="dxa"/>
            <w:gridSpan w:val="2"/>
            <w:shd w:val="clear" w:color="auto" w:fill="00FF00"/>
          </w:tcPr>
          <w:p w:rsidR="00E11258" w:rsidRDefault="00214B81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11258" w:rsidRDefault="00214B81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31</w:t>
            </w:r>
          </w:p>
        </w:tc>
      </w:tr>
      <w:tr w:rsidR="00E11258" w:rsidTr="00000320">
        <w:tc>
          <w:tcPr>
            <w:tcW w:w="14768" w:type="dxa"/>
            <w:gridSpan w:val="4"/>
            <w:shd w:val="clear" w:color="auto" w:fill="FFFFB3"/>
          </w:tcPr>
          <w:p w:rsidR="00E11258" w:rsidRDefault="00214B8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11258" w:rsidTr="00000320">
        <w:tc>
          <w:tcPr>
            <w:tcW w:w="9438" w:type="dxa"/>
            <w:gridSpan w:val="2"/>
            <w:shd w:val="clear" w:color="auto" w:fill="D9D9D9"/>
          </w:tcPr>
          <w:p w:rsidR="00E11258" w:rsidRDefault="00214B81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E11258" w:rsidRDefault="00E11258"/>
        </w:tc>
        <w:tc>
          <w:tcPr>
            <w:tcW w:w="2665" w:type="dxa"/>
            <w:shd w:val="clear" w:color="auto" w:fill="D9D9D9"/>
          </w:tcPr>
          <w:p w:rsidR="00E11258" w:rsidRDefault="00E11258"/>
        </w:tc>
      </w:tr>
      <w:tr w:rsidR="00E11258" w:rsidTr="00000320">
        <w:tc>
          <w:tcPr>
            <w:tcW w:w="9438" w:type="dxa"/>
            <w:gridSpan w:val="2"/>
          </w:tcPr>
          <w:p w:rsidR="00E11258" w:rsidRDefault="00214B81">
            <w:r>
              <w:t>Моделирование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0</w:t>
            </w:r>
          </w:p>
        </w:tc>
      </w:tr>
      <w:tr w:rsidR="00E11258" w:rsidTr="00000320">
        <w:tc>
          <w:tcPr>
            <w:tcW w:w="9438" w:type="dxa"/>
            <w:gridSpan w:val="2"/>
          </w:tcPr>
          <w:p w:rsidR="00E11258" w:rsidRDefault="00214B81">
            <w:r>
              <w:t>Написание сочинения рассуждения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11258" w:rsidRDefault="00214B81">
            <w:pPr>
              <w:jc w:val="center"/>
            </w:pPr>
            <w:r>
              <w:t>0</w:t>
            </w:r>
          </w:p>
        </w:tc>
      </w:tr>
      <w:tr w:rsidR="00E11258" w:rsidTr="00000320">
        <w:tc>
          <w:tcPr>
            <w:tcW w:w="9438" w:type="dxa"/>
            <w:gridSpan w:val="2"/>
            <w:shd w:val="clear" w:color="auto" w:fill="00FF00"/>
          </w:tcPr>
          <w:p w:rsidR="00E11258" w:rsidRDefault="00214B81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E11258" w:rsidRDefault="00214B81">
            <w:pPr>
              <w:jc w:val="center"/>
            </w:pPr>
            <w:r>
              <w:t>3</w:t>
            </w:r>
          </w:p>
        </w:tc>
        <w:tc>
          <w:tcPr>
            <w:tcW w:w="2665" w:type="dxa"/>
            <w:shd w:val="clear" w:color="auto" w:fill="00FF00"/>
          </w:tcPr>
          <w:p w:rsidR="00E11258" w:rsidRDefault="00214B81">
            <w:pPr>
              <w:jc w:val="center"/>
            </w:pPr>
            <w:r>
              <w:t>0</w:t>
            </w:r>
          </w:p>
        </w:tc>
      </w:tr>
      <w:tr w:rsidR="00E11258" w:rsidTr="00000320">
        <w:tc>
          <w:tcPr>
            <w:tcW w:w="9438" w:type="dxa"/>
            <w:gridSpan w:val="2"/>
            <w:shd w:val="clear" w:color="auto" w:fill="00FF00"/>
          </w:tcPr>
          <w:p w:rsidR="00E11258" w:rsidRDefault="00214B81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E11258" w:rsidRDefault="00214B81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E11258" w:rsidRDefault="00214B81">
            <w:pPr>
              <w:jc w:val="center"/>
            </w:pPr>
            <w:r>
              <w:t>31</w:t>
            </w:r>
          </w:p>
        </w:tc>
      </w:tr>
      <w:tr w:rsidR="00E11258" w:rsidTr="00000320">
        <w:tc>
          <w:tcPr>
            <w:tcW w:w="9438" w:type="dxa"/>
            <w:gridSpan w:val="2"/>
            <w:shd w:val="clear" w:color="auto" w:fill="FCE3FC"/>
          </w:tcPr>
          <w:p w:rsidR="00E11258" w:rsidRDefault="00214B81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E11258" w:rsidRDefault="00214B81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34</w:t>
            </w:r>
          </w:p>
        </w:tc>
      </w:tr>
      <w:tr w:rsidR="00E11258" w:rsidTr="00000320">
        <w:tc>
          <w:tcPr>
            <w:tcW w:w="9438" w:type="dxa"/>
            <w:gridSpan w:val="2"/>
            <w:shd w:val="clear" w:color="auto" w:fill="FCE3FC"/>
          </w:tcPr>
          <w:p w:rsidR="00E11258" w:rsidRDefault="00214B81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E11258" w:rsidRDefault="00214B81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E11258" w:rsidRPr="00000320" w:rsidRDefault="00214B81">
            <w:pPr>
              <w:jc w:val="center"/>
              <w:rPr>
                <w:color w:val="AEAAAA" w:themeColor="background2" w:themeShade="BF"/>
              </w:rPr>
            </w:pPr>
            <w:r w:rsidRPr="00000320">
              <w:rPr>
                <w:color w:val="AEAAAA" w:themeColor="background2" w:themeShade="BF"/>
              </w:rPr>
              <w:t>1054</w:t>
            </w:r>
          </w:p>
        </w:tc>
      </w:tr>
    </w:tbl>
    <w:p w:rsidR="00214B81" w:rsidRDefault="00214B81"/>
    <w:sectPr w:rsidR="00214B81" w:rsidSect="00000320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0320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3D05"/>
    <w:rsid w:val="00214B81"/>
    <w:rsid w:val="00217E91"/>
    <w:rsid w:val="00224750"/>
    <w:rsid w:val="00226645"/>
    <w:rsid w:val="00270402"/>
    <w:rsid w:val="00284FF2"/>
    <w:rsid w:val="0029011F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00E7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06B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AF6139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258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A327F"/>
    <w:rsid w:val="00EB57F7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Govard</cp:lastModifiedBy>
  <cp:revision>8</cp:revision>
  <dcterms:created xsi:type="dcterms:W3CDTF">2023-04-17T10:37:00Z</dcterms:created>
  <dcterms:modified xsi:type="dcterms:W3CDTF">2023-09-27T07:26:00Z</dcterms:modified>
</cp:coreProperties>
</file>